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48" w:rsidRPr="00F976CE" w:rsidRDefault="00144048" w:rsidP="00144048">
      <w:pPr>
        <w:jc w:val="right"/>
      </w:pPr>
      <w:r>
        <w:t>Приложение №</w:t>
      </w:r>
      <w:r w:rsidRPr="00F976CE">
        <w:t>2</w:t>
      </w:r>
    </w:p>
    <w:p w:rsidR="00144048" w:rsidRPr="00F976CE" w:rsidRDefault="00144048" w:rsidP="00144048">
      <w:pPr>
        <w:jc w:val="right"/>
      </w:pPr>
      <w:r w:rsidRPr="00F976CE">
        <w:t xml:space="preserve">к договору </w:t>
      </w:r>
    </w:p>
    <w:p w:rsidR="00E53355" w:rsidRDefault="00E53355" w:rsidP="00E53355">
      <w:pPr>
        <w:jc w:val="right"/>
      </w:pPr>
      <w:r>
        <w:t>№ 103 от 30.06.2021</w:t>
      </w:r>
    </w:p>
    <w:p w:rsidR="00144048" w:rsidRPr="00F976CE" w:rsidRDefault="00144048" w:rsidP="00144048">
      <w:pPr>
        <w:jc w:val="center"/>
        <w:rPr>
          <w:b/>
        </w:rPr>
      </w:pPr>
      <w:bookmarkStart w:id="0" w:name="_GoBack"/>
      <w:bookmarkEnd w:id="0"/>
    </w:p>
    <w:p w:rsidR="00144048" w:rsidRPr="00F976CE" w:rsidRDefault="00144048" w:rsidP="00144048">
      <w:pPr>
        <w:jc w:val="center"/>
        <w:rPr>
          <w:rFonts w:eastAsia="Calibri"/>
          <w:b/>
          <w:lang w:eastAsia="en-US"/>
        </w:rPr>
      </w:pPr>
      <w:r w:rsidRPr="003719C4">
        <w:rPr>
          <w:rFonts w:eastAsia="Calibri"/>
          <w:b/>
          <w:lang w:eastAsia="en-US"/>
        </w:rPr>
        <w:t>Порядок оказания услуг</w:t>
      </w:r>
    </w:p>
    <w:p w:rsidR="00144048" w:rsidRPr="00F976CE" w:rsidRDefault="00144048" w:rsidP="00144048">
      <w:pPr>
        <w:jc w:val="both"/>
        <w:rPr>
          <w:rFonts w:eastAsia="Calibri"/>
          <w:lang w:eastAsia="en-US"/>
        </w:rPr>
      </w:pPr>
    </w:p>
    <w:p w:rsidR="00144048" w:rsidRPr="00262235" w:rsidRDefault="00144048" w:rsidP="00144048">
      <w:pPr>
        <w:pStyle w:val="a4"/>
        <w:tabs>
          <w:tab w:val="left" w:pos="284"/>
        </w:tabs>
        <w:ind w:left="0"/>
      </w:pPr>
      <w:r w:rsidRPr="003D261B">
        <w:t xml:space="preserve">В настоящем </w:t>
      </w:r>
      <w:r>
        <w:t>П</w:t>
      </w:r>
      <w:r w:rsidRPr="003D261B">
        <w:t>орядке описан</w:t>
      </w:r>
      <w:r>
        <w:t>ы условия предоставления Унитарным предприятием «А1» услуг</w:t>
      </w:r>
      <w:r w:rsidRPr="003D261B">
        <w:t xml:space="preserve"> «</w:t>
      </w:r>
      <w:proofErr w:type="spellStart"/>
      <w:r w:rsidRPr="003D261B">
        <w:t>Sberdaily</w:t>
      </w:r>
      <w:proofErr w:type="spellEnd"/>
      <w:r w:rsidRPr="003D261B">
        <w:t xml:space="preserve"> 1.5 ГБ </w:t>
      </w:r>
      <w:r w:rsidRPr="00262235">
        <w:t>роуминг» и «</w:t>
      </w:r>
      <w:proofErr w:type="spellStart"/>
      <w:r w:rsidRPr="00262235">
        <w:t>Sberdaily</w:t>
      </w:r>
      <w:proofErr w:type="spellEnd"/>
      <w:r w:rsidRPr="00262235">
        <w:t xml:space="preserve"> 3 ГБ роуминг в сетях А1 и РФ» клиентам ОАО «БПС-Сбербанк» держателями банковской платежной карточки </w:t>
      </w:r>
      <w:proofErr w:type="spellStart"/>
      <w:r w:rsidRPr="00262235">
        <w:t>SberDaily</w:t>
      </w:r>
      <w:proofErr w:type="spellEnd"/>
      <w:r w:rsidRPr="00262235">
        <w:t xml:space="preserve"> (</w:t>
      </w:r>
      <w:proofErr w:type="spellStart"/>
      <w:r w:rsidRPr="00262235">
        <w:t>Mastercard</w:t>
      </w:r>
      <w:proofErr w:type="spellEnd"/>
      <w:r w:rsidRPr="00262235">
        <w:t xml:space="preserve"> </w:t>
      </w:r>
      <w:proofErr w:type="spellStart"/>
      <w:r w:rsidRPr="00262235">
        <w:t>Standard</w:t>
      </w:r>
      <w:proofErr w:type="spellEnd"/>
      <w:r w:rsidRPr="00262235">
        <w:t>).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jc w:val="both"/>
      </w:pPr>
      <w:r>
        <w:t>Заказать</w:t>
      </w:r>
      <w:r w:rsidRPr="00262235">
        <w:t xml:space="preserve"> услугу для подключения можно только на </w:t>
      </w:r>
      <w:r>
        <w:t>сайте</w:t>
      </w:r>
      <w:r w:rsidRPr="00262235">
        <w:t xml:space="preserve"> БПС-Сбербанка</w:t>
      </w:r>
      <w:r>
        <w:t>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t xml:space="preserve">Услуги доступны клиентам </w:t>
      </w:r>
      <w:r w:rsidRPr="00262235">
        <w:rPr>
          <w:lang w:val="en-US"/>
        </w:rPr>
        <w:t>A</w:t>
      </w:r>
      <w:r w:rsidRPr="00262235">
        <w:t>1 тарифных планов с абонентской платой, кроме линеек тарифных планов «</w:t>
      </w:r>
      <w:r w:rsidRPr="00262235">
        <w:rPr>
          <w:lang w:val="en-US"/>
        </w:rPr>
        <w:t>SIP</w:t>
      </w:r>
      <w:r w:rsidRPr="00262235">
        <w:t xml:space="preserve">», «Телеметрия», «Привет» и тарифного плана «Универсальный». 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262235">
        <w:t>Услуги предоставляются при наличии подключенной услуги «Международный роуминг».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</w:pPr>
      <w:r w:rsidRPr="00262235">
        <w:t>Услуга «</w:t>
      </w:r>
      <w:proofErr w:type="spellStart"/>
      <w:r w:rsidRPr="00262235">
        <w:t>Sberdaily</w:t>
      </w:r>
      <w:proofErr w:type="spellEnd"/>
      <w:r w:rsidRPr="00262235">
        <w:t xml:space="preserve"> 1.5 ГБ роуминг» включает 1.5 ГБ интернет-трафика для использования </w:t>
      </w:r>
      <w:r w:rsidRPr="003D64A4">
        <w:t>в сетях операторов</w:t>
      </w:r>
      <w:r w:rsidRPr="00262235">
        <w:t>, поддерживающих услугу.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jc w:val="both"/>
      </w:pPr>
      <w:r w:rsidRPr="00262235">
        <w:t>Услуга «</w:t>
      </w:r>
      <w:proofErr w:type="spellStart"/>
      <w:r w:rsidRPr="00262235">
        <w:t>Sberdaily</w:t>
      </w:r>
      <w:proofErr w:type="spellEnd"/>
      <w:r w:rsidRPr="00262235">
        <w:t xml:space="preserve"> 3 ГБ роуминг в сетях А1 и РФ» включает 3 ГБ интернет-трафика для использования </w:t>
      </w:r>
      <w:r w:rsidRPr="003D64A4">
        <w:t>в сетях операторов А1 и Российской Федерации</w:t>
      </w:r>
      <w:r w:rsidRPr="00262235">
        <w:t>, поддерживающих услугу.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t>Период предоставления услуг - 365 дней без автоматического продления.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t xml:space="preserve">Стоимость услуг согласно действующему прейскуранту. 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t>Стоимость услуги списывается единовременно в полном объеме при условии наличия средств на банковской пластиковой карте достаточного для подключения услуги.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t>Подключение услуги происходит на следующий день после ее оплаты.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t>Трафик предоставляется в полном объеме при подключении.</w:t>
      </w:r>
    </w:p>
    <w:p w:rsidR="00144048" w:rsidRPr="00262235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262235">
        <w:rPr>
          <w:color w:val="000000"/>
        </w:rPr>
        <w:t>Тарификация интернет-трафика осуществляется по 1 КБ.</w:t>
      </w:r>
    </w:p>
    <w:p w:rsidR="00144048" w:rsidRPr="003D261B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69536E">
        <w:t>Информацию об остатке интернет-трафика и сроке действия услуги можно получить в Личном кабинете, в приложении Мой А1, при</w:t>
      </w:r>
      <w:r w:rsidRPr="003D261B">
        <w:t xml:space="preserve"> помощи *100*12# вызов.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3D261B">
        <w:t xml:space="preserve">Возможность управления </w:t>
      </w:r>
      <w:r>
        <w:t>услугой</w:t>
      </w:r>
      <w:r w:rsidRPr="003D261B">
        <w:t xml:space="preserve"> не предоставляется в системах самообслуживания.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Услуга</w:t>
      </w:r>
      <w:r w:rsidRPr="003D261B">
        <w:t xml:space="preserve"> отключается самостоятельно по окончанию срока </w:t>
      </w:r>
      <w:r>
        <w:t xml:space="preserve">ее </w:t>
      </w:r>
      <w:r w:rsidRPr="003D261B">
        <w:t>действия.</w:t>
      </w:r>
    </w:p>
    <w:p w:rsidR="00144048" w:rsidRPr="003D261B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3D261B">
        <w:t xml:space="preserve">Интернет-трафик </w:t>
      </w:r>
      <w:r>
        <w:t>услуги</w:t>
      </w:r>
      <w:r w:rsidRPr="003D261B">
        <w:t xml:space="preserve"> не расходуется на прием/передачу MMS. Интернет-сессии, инициированные для приема/передачи MMS, оплачиваются по </w:t>
      </w:r>
      <w:proofErr w:type="spellStart"/>
      <w:r w:rsidRPr="003D261B">
        <w:t>роуминговым</w:t>
      </w:r>
      <w:proofErr w:type="spellEnd"/>
      <w:r w:rsidRPr="003D261B">
        <w:t xml:space="preserve"> тарифам.</w:t>
      </w:r>
    </w:p>
    <w:p w:rsidR="00144048" w:rsidRPr="003D261B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3D261B">
        <w:t xml:space="preserve">Интернет-трафик абонента в роуминге после завершения включенного в </w:t>
      </w:r>
      <w:r>
        <w:t>услугу</w:t>
      </w:r>
      <w:r w:rsidRPr="003D261B">
        <w:t xml:space="preserve"> трафика оплачивается согласно специальной стоимости </w:t>
      </w:r>
      <w:r>
        <w:t>за 1 Мбайт сверх включенного в услугу трафика в соответствии с</w:t>
      </w:r>
      <w:r w:rsidRPr="003D261B">
        <w:t xml:space="preserve"> </w:t>
      </w:r>
      <w:r>
        <w:t>прейскурантом</w:t>
      </w:r>
      <w:r w:rsidRPr="003D261B">
        <w:t>.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3D261B">
        <w:t xml:space="preserve">Интернет-трафик абонента в роуминге до фактического </w:t>
      </w:r>
      <w:r>
        <w:t>подключения</w:t>
      </w:r>
      <w:r w:rsidRPr="003D261B">
        <w:t xml:space="preserve"> </w:t>
      </w:r>
      <w:r>
        <w:t>услуги</w:t>
      </w:r>
      <w:r w:rsidRPr="003D261B">
        <w:t xml:space="preserve">, а также после завершения срока </w:t>
      </w:r>
      <w:r>
        <w:t xml:space="preserve">ее </w:t>
      </w:r>
      <w:r w:rsidRPr="003D261B">
        <w:t xml:space="preserve">действия оплачивается по </w:t>
      </w:r>
      <w:proofErr w:type="spellStart"/>
      <w:r w:rsidRPr="003D261B">
        <w:t>роуминговым</w:t>
      </w:r>
      <w:proofErr w:type="spellEnd"/>
      <w:r w:rsidRPr="003D261B">
        <w:t xml:space="preserve"> тарифам действующего тарифного плана абонента. 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3D261B">
        <w:t xml:space="preserve">Интернет-трафик в сетях операторов-партнеров по роумингу, не входящих в список сетей, поддерживающих </w:t>
      </w:r>
      <w:r>
        <w:t>услугу</w:t>
      </w:r>
      <w:r w:rsidRPr="003D261B">
        <w:t xml:space="preserve">, тарифицируются и оплачиваются согласно действующим </w:t>
      </w:r>
      <w:proofErr w:type="spellStart"/>
      <w:r w:rsidRPr="003D261B">
        <w:t>роуминговым</w:t>
      </w:r>
      <w:proofErr w:type="spellEnd"/>
      <w:r w:rsidRPr="003D261B">
        <w:t xml:space="preserve"> тарифам и действующему тарифному плану абонента. При использовании </w:t>
      </w:r>
      <w:r>
        <w:t>услуг</w:t>
      </w:r>
      <w:r w:rsidRPr="003D261B">
        <w:t xml:space="preserve"> абонент обязан самостоятельно контролировать регистрацию своего мобильного устройства в сетях, поддерживающих </w:t>
      </w:r>
      <w:r>
        <w:t>услугу</w:t>
      </w:r>
      <w:r w:rsidRPr="003D261B">
        <w:t>.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3D261B">
        <w:t xml:space="preserve">Действие </w:t>
      </w:r>
      <w:r>
        <w:t>услуг</w:t>
      </w:r>
      <w:r w:rsidRPr="003D261B">
        <w:t xml:space="preserve"> продолжается до окончания срока </w:t>
      </w:r>
      <w:r>
        <w:t xml:space="preserve">ее </w:t>
      </w:r>
      <w:r w:rsidRPr="003D261B">
        <w:t>действия в случае если абонент перестаёт быть клиентом банка.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3D261B">
        <w:t xml:space="preserve"> При смене тарифного плана </w:t>
      </w:r>
      <w:r>
        <w:t>услуги</w:t>
      </w:r>
      <w:r w:rsidRPr="003D261B">
        <w:t xml:space="preserve"> сохраняются.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 w:rsidRPr="003D261B">
        <w:t xml:space="preserve"> При переоформлении </w:t>
      </w:r>
      <w:r>
        <w:t>услуги</w:t>
      </w:r>
      <w:r w:rsidRPr="003D261B">
        <w:t xml:space="preserve"> не сохраняются. </w:t>
      </w:r>
    </w:p>
    <w:p w:rsidR="00144048" w:rsidRPr="003D261B" w:rsidRDefault="00144048" w:rsidP="00144048">
      <w:pPr>
        <w:numPr>
          <w:ilvl w:val="0"/>
          <w:numId w:val="1"/>
        </w:numPr>
        <w:tabs>
          <w:tab w:val="left" w:pos="284"/>
          <w:tab w:val="left" w:pos="426"/>
        </w:tabs>
        <w:jc w:val="both"/>
      </w:pPr>
      <w:r w:rsidRPr="003D261B">
        <w:t>Компания не несет ответственность за выбор оператора при регистрации абонента в роуминге и за качество и зону покрытия операторов – партнеров по роумингу.</w:t>
      </w:r>
    </w:p>
    <w:p w:rsidR="00144048" w:rsidRPr="003D261B" w:rsidRDefault="00144048" w:rsidP="001440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jc w:val="both"/>
      </w:pPr>
      <w:r w:rsidRPr="003D261B">
        <w:t xml:space="preserve">Денежный эквивалент неиспользованного трафика </w:t>
      </w:r>
      <w:r>
        <w:t>услуги</w:t>
      </w:r>
      <w:r w:rsidRPr="003D261B">
        <w:t xml:space="preserve"> не выплачивается.</w:t>
      </w:r>
    </w:p>
    <w:p w:rsidR="00144048" w:rsidRPr="00110D83" w:rsidRDefault="00144048" w:rsidP="001440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a8"/>
          <w:bCs/>
        </w:rPr>
      </w:pPr>
      <w:r w:rsidRPr="003D261B">
        <w:lastRenderedPageBreak/>
        <w:t xml:space="preserve">Во всем ином, не урегулированном настоящим Порядком, клиент </w:t>
      </w:r>
      <w:r>
        <w:rPr>
          <w:lang w:val="en-US"/>
        </w:rPr>
        <w:t>A</w:t>
      </w:r>
      <w:r w:rsidRPr="00905DB7">
        <w:t xml:space="preserve">1 </w:t>
      </w:r>
      <w:r w:rsidRPr="003D261B">
        <w:t>и компания</w:t>
      </w:r>
      <w:r w:rsidRPr="00905DB7">
        <w:t xml:space="preserve"> </w:t>
      </w:r>
      <w:r>
        <w:rPr>
          <w:lang w:val="en-US"/>
        </w:rPr>
        <w:t>A</w:t>
      </w:r>
      <w:r w:rsidRPr="00905DB7">
        <w:t>1</w:t>
      </w:r>
      <w:r w:rsidRPr="003D261B">
        <w:t xml:space="preserve"> руководствуются положениями договора об оказании услуг электросвязи, заключенного между клиентом и компанией</w:t>
      </w:r>
      <w:r>
        <w:t xml:space="preserve"> </w:t>
      </w:r>
      <w:r>
        <w:rPr>
          <w:lang w:val="en-US"/>
        </w:rPr>
        <w:t>A</w:t>
      </w:r>
      <w:r w:rsidRPr="003719C4">
        <w:t>1</w:t>
      </w:r>
      <w:r w:rsidRPr="003D261B">
        <w:t xml:space="preserve">, Порядком оказания услуги «Мобильный интернет», условиями оказания услуги «Международный роуминг», описанными на сайте </w:t>
      </w:r>
      <w:proofErr w:type="spellStart"/>
      <w:r w:rsidRPr="003719C4">
        <w:rPr>
          <w:lang w:val="en-GB"/>
        </w:rPr>
        <w:t>ww</w:t>
      </w:r>
      <w:proofErr w:type="spellEnd"/>
      <w:r w:rsidRPr="003719C4">
        <w:rPr>
          <w:lang w:val="en-US"/>
        </w:rPr>
        <w:t>w</w:t>
      </w:r>
      <w:r w:rsidRPr="003719C4">
        <w:t>.</w:t>
      </w:r>
      <w:r w:rsidRPr="003719C4">
        <w:rPr>
          <w:lang w:val="en-GB"/>
        </w:rPr>
        <w:t>A</w:t>
      </w:r>
      <w:r w:rsidRPr="003719C4">
        <w:t>1.</w:t>
      </w:r>
      <w:r w:rsidRPr="003719C4">
        <w:rPr>
          <w:lang w:val="en-GB"/>
        </w:rPr>
        <w:t>b</w:t>
      </w:r>
      <w:r w:rsidRPr="003719C4">
        <w:rPr>
          <w:lang w:val="en-US"/>
        </w:rPr>
        <w:t>y</w:t>
      </w:r>
      <w:r w:rsidRPr="00D82459">
        <w:t>.</w:t>
      </w:r>
      <w:r w:rsidRPr="003D261B">
        <w:rPr>
          <w:rStyle w:val="a8"/>
        </w:rPr>
        <w:t xml:space="preserve"> </w:t>
      </w:r>
    </w:p>
    <w:p w:rsidR="00144048" w:rsidRPr="003D261B" w:rsidRDefault="00144048" w:rsidP="00144048">
      <w:pPr>
        <w:tabs>
          <w:tab w:val="left" w:pos="284"/>
          <w:tab w:val="left" w:pos="426"/>
        </w:tabs>
        <w:ind w:left="360"/>
        <w:jc w:val="both"/>
        <w:rPr>
          <w:rStyle w:val="a8"/>
          <w:bCs/>
        </w:rPr>
      </w:pPr>
    </w:p>
    <w:p w:rsidR="00144048" w:rsidRPr="00F976CE" w:rsidRDefault="00144048" w:rsidP="00144048">
      <w:pPr>
        <w:jc w:val="both"/>
        <w:rPr>
          <w:rFonts w:eastAsia="Calibri"/>
          <w:lang w:eastAsia="en-US"/>
        </w:rPr>
      </w:pPr>
    </w:p>
    <w:p w:rsidR="00144048" w:rsidRPr="003D261B" w:rsidRDefault="00144048" w:rsidP="00144048">
      <w:pPr>
        <w:tabs>
          <w:tab w:val="left" w:pos="284"/>
          <w:tab w:val="left" w:pos="426"/>
        </w:tabs>
        <w:ind w:left="360"/>
        <w:jc w:val="both"/>
        <w:rPr>
          <w:rStyle w:val="a8"/>
          <w:bCs/>
        </w:rPr>
      </w:pPr>
    </w:p>
    <w:p w:rsidR="00144048" w:rsidRPr="00F976CE" w:rsidRDefault="00144048" w:rsidP="00144048">
      <w:pPr>
        <w:jc w:val="both"/>
        <w:rPr>
          <w:rFonts w:eastAsia="Calibri"/>
          <w:lang w:eastAsia="en-US"/>
        </w:rPr>
      </w:pPr>
    </w:p>
    <w:tbl>
      <w:tblPr>
        <w:tblStyle w:val="a3"/>
        <w:tblpPr w:leftFromText="180" w:rightFromText="180" w:vertAnchor="text" w:horzAnchor="margin" w:tblpY="1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142"/>
        <w:gridCol w:w="4198"/>
      </w:tblGrid>
      <w:tr w:rsidR="00144048" w:rsidRPr="006B7AC2" w:rsidTr="00144048">
        <w:tc>
          <w:tcPr>
            <w:tcW w:w="5158" w:type="dxa"/>
          </w:tcPr>
          <w:p w:rsidR="00144048" w:rsidRPr="006B7AC2" w:rsidRDefault="00144048" w:rsidP="00144048">
            <w:pPr>
              <w:pStyle w:val="a6"/>
              <w:rPr>
                <w:b/>
              </w:rPr>
            </w:pPr>
            <w:r w:rsidRPr="006B7AC2">
              <w:rPr>
                <w:b/>
              </w:rPr>
              <w:t>Партнер:</w:t>
            </w:r>
          </w:p>
          <w:p w:rsidR="00144048" w:rsidRPr="006B7AC2" w:rsidRDefault="00144048" w:rsidP="00144048">
            <w:pPr>
              <w:pStyle w:val="a6"/>
              <w:rPr>
                <w:b/>
              </w:rPr>
            </w:pPr>
          </w:p>
        </w:tc>
        <w:tc>
          <w:tcPr>
            <w:tcW w:w="4340" w:type="dxa"/>
            <w:gridSpan w:val="2"/>
          </w:tcPr>
          <w:p w:rsidR="00144048" w:rsidRPr="006B7AC2" w:rsidRDefault="00144048" w:rsidP="00144048">
            <w:pPr>
              <w:pStyle w:val="a6"/>
            </w:pPr>
          </w:p>
        </w:tc>
      </w:tr>
      <w:tr w:rsidR="00144048" w:rsidRPr="006B7AC2" w:rsidTr="00144048">
        <w:tc>
          <w:tcPr>
            <w:tcW w:w="5158" w:type="dxa"/>
          </w:tcPr>
          <w:p w:rsidR="00144048" w:rsidRPr="00245CF7" w:rsidRDefault="00144048" w:rsidP="00144048">
            <w:r w:rsidRPr="00245CF7">
              <w:t>Унитарное предприятие по оказанию услуг «А1»</w:t>
            </w:r>
          </w:p>
          <w:p w:rsidR="00144048" w:rsidRDefault="00144048" w:rsidP="00144048">
            <w:r w:rsidRPr="00245CF7">
              <w:t xml:space="preserve">Адрес: 220030 </w:t>
            </w:r>
            <w:proofErr w:type="spellStart"/>
            <w:r w:rsidRPr="00245CF7">
              <w:t>г.Минск</w:t>
            </w:r>
            <w:proofErr w:type="spellEnd"/>
            <w:r w:rsidRPr="00245CF7">
              <w:t xml:space="preserve">, </w:t>
            </w:r>
          </w:p>
          <w:p w:rsidR="00144048" w:rsidRPr="00245CF7" w:rsidRDefault="00144048" w:rsidP="00144048">
            <w:proofErr w:type="spellStart"/>
            <w:r w:rsidRPr="00245CF7">
              <w:t>ул.Интернациональная</w:t>
            </w:r>
            <w:proofErr w:type="spellEnd"/>
            <w:r w:rsidRPr="00245CF7">
              <w:t>, 36-2</w:t>
            </w:r>
          </w:p>
          <w:p w:rsidR="00144048" w:rsidRPr="00245CF7" w:rsidRDefault="00144048" w:rsidP="00144048">
            <w:r w:rsidRPr="00245CF7">
              <w:t xml:space="preserve">Р/с BY05PJCB30120002411000000933 </w:t>
            </w:r>
          </w:p>
          <w:p w:rsidR="00144048" w:rsidRPr="00245CF7" w:rsidRDefault="00144048" w:rsidP="00144048">
            <w:r w:rsidRPr="00245CF7">
              <w:t xml:space="preserve">в "ПРИОРБАНК" ОАО ЦБУ №115, 220002, </w:t>
            </w:r>
          </w:p>
          <w:p w:rsidR="00144048" w:rsidRDefault="00144048" w:rsidP="00144048">
            <w:r w:rsidRPr="00245CF7">
              <w:t xml:space="preserve">г. Минск, ул. Кропоткина, 91, </w:t>
            </w:r>
          </w:p>
          <w:p w:rsidR="00144048" w:rsidRPr="00245CF7" w:rsidRDefault="00144048" w:rsidP="00144048">
            <w:r w:rsidRPr="00245CF7">
              <w:t>БИК PJCBBY2X</w:t>
            </w:r>
          </w:p>
          <w:p w:rsidR="00144048" w:rsidRPr="00245CF7" w:rsidRDefault="00144048" w:rsidP="00144048">
            <w:r w:rsidRPr="00245CF7">
              <w:t>УНП: 101528843, ОКПО: 37522963</w:t>
            </w:r>
          </w:p>
          <w:p w:rsidR="00144048" w:rsidRPr="006B7AC2" w:rsidRDefault="00144048" w:rsidP="00144048">
            <w:pPr>
              <w:jc w:val="both"/>
            </w:pPr>
          </w:p>
        </w:tc>
        <w:tc>
          <w:tcPr>
            <w:tcW w:w="4340" w:type="dxa"/>
            <w:gridSpan w:val="2"/>
          </w:tcPr>
          <w:p w:rsidR="00144048" w:rsidRPr="006B7AC2" w:rsidRDefault="00144048" w:rsidP="00144048">
            <w:pPr>
              <w:pStyle w:val="a6"/>
            </w:pPr>
          </w:p>
        </w:tc>
      </w:tr>
      <w:tr w:rsidR="00144048" w:rsidRPr="006B7AC2" w:rsidTr="00144048">
        <w:trPr>
          <w:trHeight w:val="762"/>
        </w:trPr>
        <w:tc>
          <w:tcPr>
            <w:tcW w:w="5158" w:type="dxa"/>
          </w:tcPr>
          <w:p w:rsidR="00144048" w:rsidRPr="006B7AC2" w:rsidRDefault="00144048" w:rsidP="00144048">
            <w:pPr>
              <w:pStyle w:val="a6"/>
            </w:pPr>
          </w:p>
        </w:tc>
        <w:tc>
          <w:tcPr>
            <w:tcW w:w="4340" w:type="dxa"/>
            <w:gridSpan w:val="2"/>
          </w:tcPr>
          <w:p w:rsidR="00144048" w:rsidRPr="006B7AC2" w:rsidRDefault="00144048" w:rsidP="00144048">
            <w:pPr>
              <w:pStyle w:val="a6"/>
            </w:pPr>
          </w:p>
        </w:tc>
      </w:tr>
      <w:tr w:rsidR="00144048" w:rsidRPr="006B7AC2" w:rsidTr="00144048">
        <w:trPr>
          <w:trHeight w:val="561"/>
        </w:trPr>
        <w:tc>
          <w:tcPr>
            <w:tcW w:w="5300" w:type="dxa"/>
            <w:gridSpan w:val="2"/>
          </w:tcPr>
          <w:p w:rsidR="00144048" w:rsidRPr="006B7AC2" w:rsidRDefault="00144048" w:rsidP="00144048">
            <w:pPr>
              <w:pStyle w:val="a6"/>
            </w:pPr>
            <w:r w:rsidRPr="007A3A9B">
              <w:t>Заместитель генерального директора по развитию корпоративного сегмента и ИКТ</w:t>
            </w:r>
          </w:p>
        </w:tc>
        <w:tc>
          <w:tcPr>
            <w:tcW w:w="4198" w:type="dxa"/>
          </w:tcPr>
          <w:p w:rsidR="00144048" w:rsidRPr="006B7AC2" w:rsidRDefault="00144048" w:rsidP="00144048">
            <w:pPr>
              <w:pStyle w:val="a6"/>
            </w:pPr>
          </w:p>
        </w:tc>
      </w:tr>
      <w:tr w:rsidR="00144048" w:rsidRPr="006B7AC2" w:rsidTr="00144048">
        <w:trPr>
          <w:trHeight w:val="555"/>
        </w:trPr>
        <w:tc>
          <w:tcPr>
            <w:tcW w:w="5300" w:type="dxa"/>
            <w:gridSpan w:val="2"/>
          </w:tcPr>
          <w:p w:rsidR="00144048" w:rsidRPr="006B7AC2" w:rsidRDefault="00144048" w:rsidP="00144048">
            <w:pPr>
              <w:pStyle w:val="a6"/>
            </w:pPr>
            <w:r w:rsidRPr="007A3A9B">
              <w:t>___________________ /</w:t>
            </w:r>
            <w:proofErr w:type="spellStart"/>
            <w:r w:rsidRPr="007A3A9B">
              <w:t>Дашян</w:t>
            </w:r>
            <w:proofErr w:type="spellEnd"/>
            <w:r w:rsidRPr="007A3A9B">
              <w:t xml:space="preserve"> Р.С. /</w:t>
            </w:r>
          </w:p>
        </w:tc>
        <w:tc>
          <w:tcPr>
            <w:tcW w:w="4198" w:type="dxa"/>
          </w:tcPr>
          <w:p w:rsidR="00144048" w:rsidRPr="006B7AC2" w:rsidRDefault="00144048" w:rsidP="00144048">
            <w:pPr>
              <w:pStyle w:val="a6"/>
            </w:pPr>
          </w:p>
        </w:tc>
      </w:tr>
    </w:tbl>
    <w:p w:rsidR="00144048" w:rsidRPr="00F976CE" w:rsidRDefault="00144048" w:rsidP="00144048">
      <w:pPr>
        <w:jc w:val="both"/>
        <w:rPr>
          <w:rFonts w:eastAsia="Calibri"/>
          <w:lang w:eastAsia="en-US"/>
        </w:rPr>
      </w:pPr>
    </w:p>
    <w:p w:rsidR="00144048" w:rsidRPr="00F976CE" w:rsidRDefault="00144048" w:rsidP="00144048">
      <w:r w:rsidRPr="006B7AC2">
        <w:tab/>
      </w:r>
      <w:r w:rsidRPr="002D09E5">
        <w:t xml:space="preserve">                       </w:t>
      </w:r>
    </w:p>
    <w:p w:rsidR="00144048" w:rsidRPr="00F976CE" w:rsidRDefault="00144048" w:rsidP="00144048">
      <w:r w:rsidRPr="00F976CE">
        <w:br w:type="page"/>
      </w:r>
    </w:p>
    <w:p w:rsidR="00374CC4" w:rsidRPr="00144048" w:rsidRDefault="00374CC4" w:rsidP="00144048"/>
    <w:sectPr w:rsidR="00374CC4" w:rsidRPr="0014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BA2"/>
    <w:multiLevelType w:val="hybridMultilevel"/>
    <w:tmpl w:val="A596E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8"/>
    <w:rsid w:val="00144048"/>
    <w:rsid w:val="00374CC4"/>
    <w:rsid w:val="003E6F36"/>
    <w:rsid w:val="00E526A8"/>
    <w:rsid w:val="00E53355"/>
    <w:rsid w:val="00E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CE59-842A-439E-9904-48826C5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526A8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E5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Светлана</dc:creator>
  <cp:keywords/>
  <dc:description/>
  <cp:lastModifiedBy>Спесивцева Светлана</cp:lastModifiedBy>
  <cp:revision>4</cp:revision>
  <dcterms:created xsi:type="dcterms:W3CDTF">2021-06-22T09:03:00Z</dcterms:created>
  <dcterms:modified xsi:type="dcterms:W3CDTF">2021-07-20T11:07:00Z</dcterms:modified>
</cp:coreProperties>
</file>